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7878" w14:textId="77777777" w:rsidR="00CE1BB5" w:rsidRPr="002951B8" w:rsidRDefault="00F53E33">
      <w:pPr>
        <w:spacing w:line="240" w:lineRule="auto"/>
        <w:jc w:val="center"/>
        <w:rPr>
          <w:rFonts w:ascii="Arial Narrow" w:hAnsi="Arial Narrow"/>
          <w:szCs w:val="24"/>
        </w:rPr>
      </w:pPr>
      <w:r w:rsidRPr="002951B8">
        <w:rPr>
          <w:rFonts w:ascii="Arial Narrow" w:hAnsi="Arial Narrow"/>
          <w:b/>
          <w:szCs w:val="24"/>
        </w:rPr>
        <w:t>TERMO DE REFERÊNCIA</w:t>
      </w:r>
    </w:p>
    <w:p w14:paraId="7A7C54B4" w14:textId="77777777" w:rsidR="00CE1BB5" w:rsidRPr="002951B8" w:rsidRDefault="00F53E33">
      <w:pPr>
        <w:spacing w:line="240" w:lineRule="auto"/>
        <w:jc w:val="center"/>
        <w:rPr>
          <w:rFonts w:ascii="Arial Narrow" w:hAnsi="Arial Narrow"/>
          <w:szCs w:val="24"/>
        </w:rPr>
      </w:pPr>
      <w:r w:rsidRPr="002951B8">
        <w:rPr>
          <w:rFonts w:ascii="Arial Narrow" w:hAnsi="Arial Narrow"/>
          <w:b/>
          <w:szCs w:val="24"/>
        </w:rPr>
        <w:t>COMPRA DIRETA - REPARO EMERGENCIAL DE VEÍCULO</w:t>
      </w:r>
    </w:p>
    <w:p w14:paraId="0ECA77AD" w14:textId="77777777" w:rsidR="00CE1BB5" w:rsidRPr="002951B8" w:rsidRDefault="00F53E33">
      <w:pPr>
        <w:spacing w:after="140" w:line="240" w:lineRule="auto"/>
        <w:rPr>
          <w:rFonts w:ascii="Arial Narrow" w:hAnsi="Arial Narrow"/>
          <w:szCs w:val="24"/>
        </w:rPr>
      </w:pPr>
      <w:r w:rsidRPr="002951B8">
        <w:rPr>
          <w:rFonts w:ascii="Arial Narrow" w:hAnsi="Arial Narrow"/>
          <w:b/>
          <w:szCs w:val="24"/>
        </w:rPr>
        <w:t>Objeto: Contratação direta de empresa especializada para fornecimento de peças automotivas e prestação de serviços de manutenção corretiva/reparo de veículo pertencente à frota do Serviço Autônomo de Água e Esgoto - SAAE de Iguatama/MG.</w:t>
      </w:r>
    </w:p>
    <w:p w14:paraId="085DEC1C"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1 - OBJETO</w:t>
      </w:r>
    </w:p>
    <w:p w14:paraId="1637B3DC"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1.1 - Contratação direta de empresa especializada para diagnóstico, fornecimento de peças, componentes, acessórios, lubrificantes, filtros, fluidos e materiais correlatos, bem como prestação de serviços de manutenção corretiva/reparo de veículo pertencente à frota do Serviço Autônomo de Água e Esgoto - SAAE de Iguatama/MG, visando ao restabelecimento imediato de suas condições de segurança, funcionamento e disponibilidade operacional.</w:t>
      </w:r>
    </w:p>
    <w:p w14:paraId="71FBAF8C"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1.2 - O veículo será identificado na requisição administrativa, no orçamento aprovado ou na Ordem de Serviço, contendo, sempre que possível, marca, modelo, placa, ano, quilometragem, setor de lotação e descrição do defeito constatado.</w:t>
      </w:r>
    </w:p>
    <w:p w14:paraId="5F8A89A4"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1.3 - A contratação abrangerá exclusivamente as peças, insumos e serviços indispensáveis à correção do defeito e ao retorno seguro do veículo às atividades da Autarquia, vedada a ampliação indevida do objeto para itens não relacionados à situação emergencial.</w:t>
      </w:r>
    </w:p>
    <w:p w14:paraId="60CF351D"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1.4 - Conforme diagnóstico técnico e autorização do SAAE, a execução poderá compreender, dentre outros serviços compatíveis com a necessidade:</w:t>
      </w:r>
    </w:p>
    <w:p w14:paraId="08357FE4"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mecânica em geral, motor, câmbio e embreagem;</w:t>
      </w:r>
    </w:p>
    <w:p w14:paraId="077805F4"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sistema de freios, suspensão, direção, arrefecimento, escapamento e ar-condicionado;</w:t>
      </w:r>
    </w:p>
    <w:p w14:paraId="228916FE"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sistema elétrico, eletrônico e injeção eletrônica;</w:t>
      </w:r>
    </w:p>
    <w:p w14:paraId="0043CE57"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troca de óleo, filtros, lubrificantes, fluidos e demais insumos necessários;</w:t>
      </w:r>
    </w:p>
    <w:p w14:paraId="444F9EB2"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alinhamento, balanceamento, borracharia, solda, torno, funilaria e pintura, quando indispensáveis ao reparo;</w:t>
      </w:r>
    </w:p>
    <w:p w14:paraId="3D87EA42"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fornecimento de peças novas, originais, genuínas ou de primeira linha, compatíveis com o veículo e com as especificações do fabricante.</w:t>
      </w:r>
    </w:p>
    <w:p w14:paraId="2232B4CE"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2 - JUSTIFICATIVA DA CONTRATAÇÃO E ESCOLHA DO PROCEDIMENTO</w:t>
      </w:r>
    </w:p>
    <w:p w14:paraId="0E4EF99D"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2.1 - A presente contratação tem por finalidade viabilizar o reparo urgente de veículo pertencente à frota do SAAE de Iguatama/MG, utilizado no apoio às atividades operacionais, administrativas e de fiscalização dos sistemas de abastecimento de água e esgotamento sanitário.</w:t>
      </w:r>
    </w:p>
    <w:p w14:paraId="06CAA70C"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2.2 - Os veículos da Autarquia são empregados diariamente no atendimento de ocorrências, deslocamento de equipes, transporte de servidores, ferramentas, materiais e equipamentos, coleta de amostras, fiscalização e manutenção das redes de água e esgoto. A paralisação do veículo reduz a capacidade de resposta do SAAE, compromete a eficiência operacional e pode ocasionar prejuízo à continuidade de serviços públicos essenciais.</w:t>
      </w:r>
    </w:p>
    <w:p w14:paraId="277734E1"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2.3 - A necessidade possui caráter urgente, pois a demora na realização do reparo poderá prolongar a indisponibilidade do veículo, aumentar os custos de manutenção, agravar o dano mecânico e dificultar o atendimento das demandas da população. Aguardar a conclusão de procedimento licitatório ordinário, diante da urgência caracterizada, não se mostra adequado ao interesse público.</w:t>
      </w:r>
    </w:p>
    <w:p w14:paraId="23345416"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 xml:space="preserve">2.4 - A contratação será realizada por compra direta, mediante dispensa de licitação, com fundamento no art. 75, inciso VIII, da Lei Federal nº 14.133/2021, observadas as exigências de instrução processual previstas no art. 72 da mesma Lei, especialmente quanto à demonstração da </w:t>
      </w:r>
      <w:r w:rsidRPr="002951B8">
        <w:rPr>
          <w:rFonts w:ascii="Arial Narrow" w:hAnsi="Arial Narrow"/>
          <w:szCs w:val="24"/>
        </w:rPr>
        <w:lastRenderedPageBreak/>
        <w:t>necessidade, justificativa da escolha do contratado, compatibilidade do preço com o mercado, disponibilidade orçamentária, habilitação mínima e autorização da autoridade competente.</w:t>
      </w:r>
    </w:p>
    <w:p w14:paraId="298A9A3F"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2.5 - A contratação direta deverá limitar-se ao atendimento da situação emergencial, compreendendo apenas os bens e serviços necessários ao reparo imediato do veículo, sem prejuízo da posterior adoção de planejamento ordinário para demandas futuras e programáveis de manutenção veicular.</w:t>
      </w:r>
    </w:p>
    <w:p w14:paraId="454C3CF3"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3 - REQUISITOS NECESSÁRIOS DA CONTRATAÇÃO</w:t>
      </w:r>
    </w:p>
    <w:p w14:paraId="18CB1CDB"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3.1 - A empresa contratada deverá possuir capacidade técnica e operacional compatível com a execução de serviços de manutenção automotiva em veículo similar ao pertencente à frota do SAAE, dispondo de estrutura, ferramentas, equipamentos e profissionais habilitados para o diagnóstico e reparo.</w:t>
      </w:r>
    </w:p>
    <w:p w14:paraId="431ECA96"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3.2 - A contratada deverá apresentar orçamento detalhado antes do início da execução, contendo, no mínimo:</w:t>
      </w:r>
    </w:p>
    <w:p w14:paraId="0F4EABD8"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identificação do veículo e descrição do defeito constatado;</w:t>
      </w:r>
    </w:p>
    <w:p w14:paraId="58233EA8"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relação das peças, componentes e insumos necessários;</w:t>
      </w:r>
    </w:p>
    <w:p w14:paraId="5B278DEB"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quantidade, valor unitário e valor total das peças;</w:t>
      </w:r>
    </w:p>
    <w:p w14:paraId="177C56E0"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descrição da mão de obra e valor dos serviços;</w:t>
      </w:r>
    </w:p>
    <w:p w14:paraId="181D9570"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prazo estimado para conclusão do reparo;</w:t>
      </w:r>
    </w:p>
    <w:p w14:paraId="41FA96CB"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prazo de garantia das peças e dos serviços;</w:t>
      </w:r>
    </w:p>
    <w:p w14:paraId="4577D0EC"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validade da proposta e dados da empresa.</w:t>
      </w:r>
    </w:p>
    <w:p w14:paraId="2096CC25"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3.3 - As peças fornecidas deverão ser novas, sem uso, originais, genuínas ou de primeira linha, compatíveis com o veículo e adequadas às especificações técnicas do fabricante, não sendo admitidas peças usadas, recondicionadas, remanufaturadas ou incompatíveis com a segurança do bem público.</w:t>
      </w:r>
    </w:p>
    <w:p w14:paraId="54227C2F"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3.4 - A contratada deverá emitir nota fiscal discriminando separadamente peças, insumos, mão de obra e demais serviços executados, sempre que possível, para permitir o controle e a fiscalização pela Administração.</w:t>
      </w:r>
    </w:p>
    <w:p w14:paraId="4A03019F"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3.5 - Para fins de habilitação mínima, deverão ser exigidos, no que couber ao caso concreto, documentos de habilitação jurídica, regularidade fiscal e trabalhista, regularidade perante o FGTS, comprovação de inexistência de débitos trabalhistas e comprovação de capacidade técnica compatível com o objeto, mediante atestado, declaração ou comprovação de atuação no ramo, sem exigências excessivas ou incompatíveis com a natureza da compra direta.</w:t>
      </w:r>
    </w:p>
    <w:p w14:paraId="706215D6"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3.6 - As exigências de qualificação deverão ser restritas ao necessário para assegurar o cumprimento da obrigação, observados os princípios da razoabilidade, proporcionalidade, eficiência, seleção da proposta apta a atender ao interesse público e segurança da contratação.</w:t>
      </w:r>
    </w:p>
    <w:p w14:paraId="7DECB437"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4 - VISTORIA, DIAGNÓSTICO OU AVALIAÇÃO DO VEÍCULO</w:t>
      </w:r>
    </w:p>
    <w:p w14:paraId="7CCA9D62"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4.1 - Para elaboração do orçamento e adequada identificação do defeito, a empresa interessada poderá realizar vistoria ou diagnóstico prévio no veículo, mediante agendamento com o setor responsável do SAAE, em horário de expediente da Autarquia.</w:t>
      </w:r>
    </w:p>
    <w:p w14:paraId="0404BF1A"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4.2 - Quando o veículo não puder se deslocar com segurança até a oficina, poderá ser autorizada avaliação no local onde se encontrar ou remoção por guincho, desde que previamente autorizada pelo SAAE e devidamente justificada nos autos.</w:t>
      </w:r>
    </w:p>
    <w:p w14:paraId="4523FDB8"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4.3 - A realização de vistoria ou diagnóstico não gera direito à contratação, pagamento ou indenização, salvo se houver autorização formal específica para diagnóstico remunerado, devidamente justificada e aprovada pela autoridade competente.</w:t>
      </w:r>
    </w:p>
    <w:p w14:paraId="10C95B4E"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lastRenderedPageBreak/>
        <w:t>4.4 - A empresa não poderá alegar desconhecimento das condições do veículo, dos serviços necessários ou da complexidade do reparo após a apresentação do orçamento e aceite da contratação.</w:t>
      </w:r>
    </w:p>
    <w:p w14:paraId="17C0828D"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5 - CRITÉRIOS DE ACEITABILIDADE</w:t>
      </w:r>
    </w:p>
    <w:p w14:paraId="4F5D0C13"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5.1 - O SAAE não aceitará serviços executados com atraso injustificado, defeitos, imperfeições, uso de peças incompatíveis, ausência de relatório ou em desconformidade com o orçamento aprovado, com este Termo de Referência, com as normas técnicas aplicáveis ou com as especificações do fabricante.</w:t>
      </w:r>
    </w:p>
    <w:p w14:paraId="3FA51F3A"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5.2 - Constatada irregularidade, a contratada deverá corrigir, refazer, substituir ou complementar o serviço no prazo fixado pela fiscalização, sem ônus adicional ao SAAE, quando a falha decorrer da execução, instalação, fornecimento inadequado ou descumprimento das obrigações assumidas.</w:t>
      </w:r>
    </w:p>
    <w:p w14:paraId="3CABC43E"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5.3 - O objeto somente será considerado aceito após conferência das peças instaladas, análise do relatório de serviços, teste de funcionamento do veículo e atesto pelo fiscal designado.</w:t>
      </w:r>
    </w:p>
    <w:p w14:paraId="24946600"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6 - ESTIMATIVA DE PREÇO, PESQUISA E DISPONIBILIDADE ORÇAMENTÁRIA</w:t>
      </w:r>
    </w:p>
    <w:p w14:paraId="6C19E1EB"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6.1 - A estimativa de preço deverá ser instruída com pesquisa compatível com a urgência do caso, podendo considerar cotações com fornecedores do ramo, contratações similares, sistemas referenciais de peças e manutenção automotiva, pesquisas em bancos de preços, PNCP, tabelas de fabricantes, valores de mercado e demais parâmetros idôneos disponíveis.</w:t>
      </w:r>
    </w:p>
    <w:p w14:paraId="37FCDEFF"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6.2 - Em razão da natureza corretiva do reparo, a definição final das peças e serviços dependerá do diagnóstico técnico do veículo. A Administração deverá autorizar apenas os itens indispensáveis à solução do defeito e à recomposição das condições seguras de uso.</w:t>
      </w:r>
    </w:p>
    <w:p w14:paraId="7B03A264"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6.3 - O valor estimado da contratação será aquele constante do mapa de preços, do orçamento aprovado e/ou da justificativa de preço juntada aos autos, observada a compatibilidade com os valores praticados no mercado.</w:t>
      </w:r>
    </w:p>
    <w:p w14:paraId="5579DAA7"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6.4 - As despesas decorrentes da contratação correrão por conta de dotação própria do orçamento vigente do SAAE de Iguatama/MG, a ser indicada pelo setor contábil ou financeiro competente nos autos do processo.</w:t>
      </w:r>
    </w:p>
    <w:p w14:paraId="3EC60A1E"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7 - CONDIÇÕES DE EXECUÇÃO</w:t>
      </w:r>
    </w:p>
    <w:p w14:paraId="4E7EE562"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7.1 - A contratada deverá executar e entregar o reparo no menor prazo tecnicamente possível, preferencialmente em até 05 (cinco) dias úteis, contados da emissão da Ordem de Serviço, autorização de fornecimento ou instrumento equivalente, salvo situação de maior complexidade devidamente justificada e aceita pelo SAAE.</w:t>
      </w:r>
    </w:p>
    <w:p w14:paraId="7532BB30"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7.2 - A execução somente poderá ser iniciada após autorização formal do SAAE, mediante aprovação do orçamento detalhado e indicação das peças e serviços efetivamente necessários.</w:t>
      </w:r>
    </w:p>
    <w:p w14:paraId="3644116E"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7.3 - A contratada não poderá transferir a terceiros a responsabilidade pela execução do objeto, ainda que utilize fornecedores de peças, fabricantes, técnicos especializados ou prestadores auxiliares, permanecendo integralmente responsável pela qualidade, garantia, prazo e segurança do reparo.</w:t>
      </w:r>
    </w:p>
    <w:p w14:paraId="6C5D7F80"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7.4 - A subcontratação parcial de serviço específico somente poderá ocorrer mediante autorização formal do SAAE, quando tecnicamente justificável, sem prejuízo da responsabilidade integral da contratada principal.</w:t>
      </w:r>
    </w:p>
    <w:p w14:paraId="59F149D5"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7.5 - A fiscalização exercida pelo SAAE não reduz nem exclui a responsabilidade da contratada pela perfeita execução dos serviços, pela qualidade das peças fornecidas e por eventuais danos causados ao veículo, à Administração ou a terceiros.</w:t>
      </w:r>
    </w:p>
    <w:p w14:paraId="18AA65CB"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lastRenderedPageBreak/>
        <w:t>7.6 - O SAAE poderá, quando necessário e dentro dos limites legais, alterar quantitativos, suprimir itens ou determinar ajustes no orçamento aprovado, observado o art. 125 da Lei Federal nº 14.133/2021 e a restrição do objeto à necessidade emergencial.</w:t>
      </w:r>
    </w:p>
    <w:p w14:paraId="5C0FE86C"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7.7 - Os representantes do SAAE ou pessoas por ele autorizadas terão acesso ao veículo, aos serviços e às informações necessárias ao acompanhamento do reparo, inclusive para conferência das peças substituídas e realização de testes.</w:t>
      </w:r>
    </w:p>
    <w:p w14:paraId="6954629B"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7.8 - As peças retiradas do veículo deverão ser apresentadas ao fiscal do contrato sempre que solicitado, para conferência, registro e comprovação da efetiva substituição.</w:t>
      </w:r>
    </w:p>
    <w:p w14:paraId="6557B94F"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7.9 - A contratada deverá manter o veículo sob sua guarda e responsabilidade enquanto estiver em suas dependências, adotando medidas de segurança e zelo, respondendo por perdas, avarias ou danos decorrentes de culpa, dolo, negligência, imprudência ou imperícia.</w:t>
      </w:r>
    </w:p>
    <w:p w14:paraId="716D0634"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7.10 - Ao final dos serviços, a contratada deverá realizar teste de funcionamento e entregar relatório contendo o diagnóstico, os serviços executados, as peças substituídas, os prazos de garantia e eventuais recomendações técnicas.</w:t>
      </w:r>
    </w:p>
    <w:p w14:paraId="7E93F86A"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8 - CONDIÇÕES DE PAGAMENTO</w:t>
      </w:r>
    </w:p>
    <w:p w14:paraId="0DAE00B5"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8.1 - O pagamento será efetuado somente após a execução dos serviços, entrega do veículo em condições de funcionamento, emissão da nota fiscal e atesto pelo fiscal responsável.</w:t>
      </w:r>
    </w:p>
    <w:p w14:paraId="675DDF84"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8.2 - A contratada receberá apenas pelos serviços efetivamente executados, peças efetivamente fornecidas e itens previamente autorizados pelo SAAE, vedado o pagamento por serviços não aprovados, peças não instaladas ou itens não relacionados ao reparo emergencial.</w:t>
      </w:r>
    </w:p>
    <w:p w14:paraId="1754BAE6"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8.3 - A nota fiscal deverá conter discriminação suficiente para identificação das peças, insumos, mão de obra e serviços executados, podendo a Administração solicitar relatório complementar, fotografias, comprovantes ou outros elementos que auxiliem a conferência.</w:t>
      </w:r>
    </w:p>
    <w:p w14:paraId="2892CB45"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8.4 - O pagamento será realizado no prazo estabelecido no instrumento de contratação, preferencialmente em até 30 (trinta) dias contados do recebimento definitivo e do atesto da nota fiscal, observada a regularidade fiscal da contratada e a disponibilidade financeira da Autarquia.</w:t>
      </w:r>
    </w:p>
    <w:p w14:paraId="228CD502"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8.5 - Considerando a natureza de execução imediata e prazo reduzido da contratação, não haverá reajuste, salvo hipótese legal expressamente aplicável e devidamente justificada.</w:t>
      </w:r>
    </w:p>
    <w:p w14:paraId="0FD47762"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9 - GARANTIA DOS SERVIÇOS E DAS PEÇAS</w:t>
      </w:r>
    </w:p>
    <w:p w14:paraId="64F4B348"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9.1 - Os serviços executados deverão possuir garantia mínima de 90 (noventa) dias, contados do recebimento definitivo, sem prejuízo de prazo superior ofertado pela contratada ou previsto pelo fabricante.</w:t>
      </w:r>
    </w:p>
    <w:p w14:paraId="1A8EB257"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9.2 - As peças fornecidas deverão possuir garantia legal e/ou garantia do fabricante, prevalecendo a que for mais benéfica à Administração.</w:t>
      </w:r>
    </w:p>
    <w:p w14:paraId="6F5C7DA2"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9.3 - Durante o prazo de garantia, a contratada deverá corrigir defeitos de instalação, falhas de execução, incompatibilidade de peça ou mau funcionamento decorrente do reparo realizado, sem ônus adicional ao SAAE, ressalvadas hipóteses de mau uso, sinistro, desgaste natural não relacionado ao serviço ou fato superveniente devidamente comprovado.</w:t>
      </w:r>
    </w:p>
    <w:p w14:paraId="4A4C9B60"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10 - OBRIGAÇÕES DAS PARTES</w:t>
      </w:r>
    </w:p>
    <w:p w14:paraId="77F17E86"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10.1 - Obrigações do SAAE:</w:t>
      </w:r>
    </w:p>
    <w:p w14:paraId="068FD3EB"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fornecer as informações disponíveis sobre o veículo e o defeito constatado;</w:t>
      </w:r>
    </w:p>
    <w:p w14:paraId="56C18DF3"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autorizar previamente a execução dos serviços e o fornecimento das peças;</w:t>
      </w:r>
    </w:p>
    <w:p w14:paraId="5A6F8A3A"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lastRenderedPageBreak/>
        <w:t>• emitir Ordem de Serviço, autorização de fornecimento, nota de empenho ou instrumento equivalente;</w:t>
      </w:r>
    </w:p>
    <w:p w14:paraId="0416C2F1"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acompanhar e fiscalizar a execução do objeto;</w:t>
      </w:r>
    </w:p>
    <w:p w14:paraId="7841524B"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notificar a contratada sobre irregularidades, defeitos, atrasos ou descumprimentos, fixando prazo para correção quando cabível;</w:t>
      </w:r>
    </w:p>
    <w:p w14:paraId="7CFEF0AB"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rejeitar peças ou serviços em desconformidade com este Termo de Referência ou com o orçamento aprovado;</w:t>
      </w:r>
    </w:p>
    <w:p w14:paraId="5B63BFD6"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realizar o recebimento provisório e/ou definitivo, quando cabível, e efetuar o pagamento após o devido atesto.</w:t>
      </w:r>
    </w:p>
    <w:p w14:paraId="1CC36E5A"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10.2 - Obrigações da contratada:</w:t>
      </w:r>
    </w:p>
    <w:p w14:paraId="106D44F8"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manter, durante a execução, as condições de habilitação e qualificação exigidas na contratação direta;</w:t>
      </w:r>
    </w:p>
    <w:p w14:paraId="4AFBA281"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executar os serviços com qualidade, segurança, zelo e observância das normas técnicas aplicáveis;</w:t>
      </w:r>
    </w:p>
    <w:p w14:paraId="3296027C"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fornecer peças novas, compatíveis e adequadas ao veículo;</w:t>
      </w:r>
    </w:p>
    <w:p w14:paraId="3FEA1DCC"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disponibilizar profissionais qualificados, ferramentas e equipamentos necessários à execução;</w:t>
      </w:r>
    </w:p>
    <w:p w14:paraId="1385F148"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cumprir o prazo aprovado ou justificar tecnicamente eventual necessidade de prorrogação;</w:t>
      </w:r>
    </w:p>
    <w:p w14:paraId="1486064A"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responder por danos causados ao veículo, ao SAAE ou a terceiros por ação ou omissão de seus empregados, prepostos ou subcontratados autorizados;</w:t>
      </w:r>
    </w:p>
    <w:p w14:paraId="74AC0205"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arcar com encargos trabalhistas, previdenciários, fiscais, comerciais, transporte, seguros e demais custos necessários à execução;</w:t>
      </w:r>
    </w:p>
    <w:p w14:paraId="05D6826A"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observar normas de segurança do trabalho e fornecer equipamentos de proteção individual aos seus empregados quando necessário;</w:t>
      </w:r>
    </w:p>
    <w:p w14:paraId="1155D515"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manter comunicação com o fiscal do contrato sobre o andamento do reparo;</w:t>
      </w:r>
    </w:p>
    <w:p w14:paraId="24DC3F6D"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apresentar relatório final dos serviços, relação das peças substituídas e garantia concedida;</w:t>
      </w:r>
    </w:p>
    <w:p w14:paraId="307A064D"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promover o descarte ambientalmente adequado de óleo, filtros, baterias, pneus, peças e resíduos automotivos, quando aplicável;</w:t>
      </w:r>
    </w:p>
    <w:p w14:paraId="5450794F"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corrigir falhas constatadas na execução ou no período de garantia, sem ônus ao SAAE, quando decorrentes de sua responsabilidade.</w:t>
      </w:r>
    </w:p>
    <w:p w14:paraId="2E4AB486"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11 - GESTÃO E FISCALIZAÇÃO</w:t>
      </w:r>
    </w:p>
    <w:p w14:paraId="02FC56F2"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11.1 - Observado o art. 117 da Lei Federal nº 14.133/2021, a execução da contratação será acompanhada e fiscalizada por servidor designado pelo Diretor do SAAE de Iguatama/MG.</w:t>
      </w:r>
    </w:p>
    <w:p w14:paraId="25A0225C"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11.2 - Compete ao fiscal verificar a conformidade dos serviços, acompanhar o prazo de execução, conferir as peças instaladas, solicitar esclarecimentos, registrar ocorrências, exigir correções, atestar a nota fiscal e emitir ou subsidiar o termo de recebimento.</w:t>
      </w:r>
    </w:p>
    <w:p w14:paraId="0B52EFDB"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11.3 - As decisões, comunicações, solicitações e notificações relevantes deverão ser formalizadas por escrito, inclusive por meio eletrônico institucional, e juntadas aos autos do processo administrativo, sempre que necessário.</w:t>
      </w:r>
    </w:p>
    <w:p w14:paraId="07C8532B"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11.4 - O recebimento do objeto será realizado mediante conferência dos serviços executados, apresentação do relatório técnico, teste de funcionamento do veículo e atesto pelo fiscal responsável. Havendo pendências que impeçam a utilização segura do veículo, o recebimento definitivo somente ocorrerá após a correção integral.</w:t>
      </w:r>
    </w:p>
    <w:p w14:paraId="2B2B4B59"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12 - VIGÊNCIA CONTRATUAL OU DO INSTRUMENTO EQUIVALENTE</w:t>
      </w:r>
    </w:p>
    <w:p w14:paraId="36F66E0C"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 xml:space="preserve">12.1 - A contratação terá vigência pelo prazo necessário à execução do reparo, recebimento do objeto, cumprimento das obrigações de pagamento e atendimento da garantia, conforme definido no </w:t>
      </w:r>
      <w:r w:rsidRPr="002951B8">
        <w:rPr>
          <w:rFonts w:ascii="Arial Narrow" w:hAnsi="Arial Narrow"/>
          <w:szCs w:val="24"/>
        </w:rPr>
        <w:lastRenderedPageBreak/>
        <w:t>contrato, nota de empenho, autorização de fornecimento, Ordem de Serviço ou instrumento equivalente.</w:t>
      </w:r>
    </w:p>
    <w:p w14:paraId="26E89E99"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12.2 - Tratando-se de contratação direta emergencial fundada no art. 75, inciso VIII, da Lei Federal nº 14.133/2021, a vigência deverá observar os limites legais aplicáveis, sendo vedada a prorrogação indevida ou a recontratação fundada na mesma situação emergencial sem justificativa legal.</w:t>
      </w:r>
    </w:p>
    <w:p w14:paraId="45191E10"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12.3 - O instrumento poderá ser substituído por nota de empenho, autorização de fornecimento, Ordem de Serviço ou outro instrumento hábil, quando cabível, nos termos da Lei Federal nº 14.133/2021, sem prejuízo das obrigações e garantias previstas neste Termo de Referência.</w:t>
      </w:r>
    </w:p>
    <w:p w14:paraId="6FA3146A"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13 - SANÇÕES ADMINISTRATIVAS</w:t>
      </w:r>
    </w:p>
    <w:p w14:paraId="5E532715"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13.1 - A contratada que descumprir as condições assumidas ficará sujeita às sanções previstas nos arts. 155 e 156 da Lei Federal nº 14.133/2021, assegurados o contraditório e a ampla defesa.</w:t>
      </w:r>
    </w:p>
    <w:p w14:paraId="370F4525"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13.2 - Conforme a gravidade da infração, poderão ser aplicadas as seguintes sanções, sem prejuízo da reparação dos danos causados à Administração:</w:t>
      </w:r>
    </w:p>
    <w:p w14:paraId="5FDC6139"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advertência;</w:t>
      </w:r>
    </w:p>
    <w:p w14:paraId="248ABE2C"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multa moratória por atraso injustificado, limitada ao percentual previsto no instrumento de contratação;</w:t>
      </w:r>
    </w:p>
    <w:p w14:paraId="79AE5820"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multa compensatória pela inexecução total ou parcial do objeto;</w:t>
      </w:r>
    </w:p>
    <w:p w14:paraId="3077C208"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impedimento de licitar e contratar;</w:t>
      </w:r>
    </w:p>
    <w:p w14:paraId="7D5B70DD" w14:textId="77777777" w:rsidR="00CE1BB5" w:rsidRPr="002951B8" w:rsidRDefault="00F53E33">
      <w:pPr>
        <w:spacing w:after="20" w:line="240" w:lineRule="auto"/>
        <w:ind w:left="369" w:hanging="142"/>
        <w:rPr>
          <w:rFonts w:ascii="Arial Narrow" w:hAnsi="Arial Narrow"/>
          <w:szCs w:val="24"/>
        </w:rPr>
      </w:pPr>
      <w:r w:rsidRPr="002951B8">
        <w:rPr>
          <w:rFonts w:ascii="Arial Narrow" w:hAnsi="Arial Narrow"/>
          <w:szCs w:val="24"/>
        </w:rPr>
        <w:t>• declaração de inidoneidade para licitar ou contratar, nos casos legalmente cabíveis.</w:t>
      </w:r>
    </w:p>
    <w:p w14:paraId="3805C4D3"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13.3 - Poderá ser aplicada multa de até 10% (dez por cento) sobre o valor da contratação, proporcional à gravidade da infração, sem prejuízo de multa diária por atraso injustificado, quando prevista no instrumento de contratação.</w:t>
      </w:r>
    </w:p>
    <w:p w14:paraId="505C93EA"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13.4 - As multas poderão ser descontadas de pagamentos devidos, cobradas administrativamente ou judicialmente, observadas as garantias legais de defesa.</w:t>
      </w:r>
    </w:p>
    <w:p w14:paraId="0AA359DE"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13.5 - A aplicação de sanção não impede a rescisão ou extinção da contratação, a exigência de reparação integral dos prejuízos e a adoção das demais medidas administrativas cabíveis.</w:t>
      </w:r>
    </w:p>
    <w:p w14:paraId="37BB55AB"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14 - ALTERAÇÕES, ACRÉSCIMOS E SUPRESSÕES</w:t>
      </w:r>
    </w:p>
    <w:p w14:paraId="28D2478E"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14.1 - As alterações quantitativas ou qualitativas eventualmente necessárias deverão observar os limites e condições previstos na Lei Federal nº 14.133/2021, especialmente o art. 125, mediante justificativa técnica, autorização da autoridade competente e preservação do interesse público.</w:t>
      </w:r>
    </w:p>
    <w:p w14:paraId="260FE289"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14.2 - Em razão do fundamento emergencial da contratação, eventuais acréscimos deverão guardar relação direta com o defeito identificado e com a finalidade de restabelecer o funcionamento seguro do veículo, vedada a inclusão de serviços estranhos ao atendimento imediato da necessidade.</w:t>
      </w:r>
    </w:p>
    <w:p w14:paraId="4A727457"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t>15 - REFERÊNCIAS DE PREÇOS E ESCOLHA DO FORNECEDOR</w:t>
      </w:r>
    </w:p>
    <w:p w14:paraId="23E60DE4"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15.1 - A referência de preços poderá considerar orçamento detalhado da empresa, cotações de mercado, tabelas de fabricantes, sistemas referenciais de peças e serviços automotivos, contratações públicas similares, Banco de Preços, PNCP ou outros elementos idôneos, compatíveis com a urgência e com a natureza do reparo.</w:t>
      </w:r>
    </w:p>
    <w:p w14:paraId="4BAFA6F7"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15.2 - A escolha do fornecedor deverá ser justificada nos autos, considerando a compatibilidade do preço com o mercado, a disponibilidade para atendimento imediato, a capacidade técnica, a garantia ofertada, a regularidade mínima exigida e a aptidão para solucionar a demanda emergencial sem prejuízo à qualidade e à segurança.</w:t>
      </w:r>
    </w:p>
    <w:p w14:paraId="2CA521FB"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15.3 - O valor final da contratação deverá constar do orçamento aprovado, do mapa de preços ou da justificativa de preço e escolha do fornecedor, compondo a instrução do processo de compra direta.</w:t>
      </w:r>
    </w:p>
    <w:p w14:paraId="56156243" w14:textId="77777777" w:rsidR="00CE1BB5" w:rsidRPr="002951B8" w:rsidRDefault="00F53E33">
      <w:pPr>
        <w:spacing w:before="160" w:after="100" w:line="240" w:lineRule="auto"/>
        <w:rPr>
          <w:rFonts w:ascii="Arial Narrow" w:hAnsi="Arial Narrow"/>
          <w:szCs w:val="24"/>
        </w:rPr>
      </w:pPr>
      <w:r w:rsidRPr="002951B8">
        <w:rPr>
          <w:rFonts w:ascii="Arial Narrow" w:hAnsi="Arial Narrow"/>
          <w:b/>
          <w:szCs w:val="24"/>
        </w:rPr>
        <w:lastRenderedPageBreak/>
        <w:t>16 - DISPOSIÇÕES FINAIS</w:t>
      </w:r>
    </w:p>
    <w:p w14:paraId="0D679A81"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16.1 - A presente contratação deverá ser formalizada e instruída nos autos com os documentos exigidos pela Lei Federal nº 14.133/2021, inclusive Documento de Formalização da Demanda, justificativa da necessidade e urgência, estimativa de preços, demonstração da disponibilidade orçamentária, comprovação de habilitação mínima, autorização da autoridade competente e designação de fiscal, dispensado apenas o parecer jurídico quando assim determinado pela Administração ou quando se tratar de hipótese legalmente admitida, conforme orientação interna aplicável.</w:t>
      </w:r>
    </w:p>
    <w:p w14:paraId="5A9F0B7F" w14:textId="77777777" w:rsidR="00CE1BB5" w:rsidRPr="002951B8" w:rsidRDefault="00F53E33">
      <w:pPr>
        <w:spacing w:after="80" w:line="240" w:lineRule="auto"/>
        <w:rPr>
          <w:rFonts w:ascii="Arial Narrow" w:hAnsi="Arial Narrow"/>
          <w:szCs w:val="24"/>
        </w:rPr>
      </w:pPr>
      <w:r w:rsidRPr="002951B8">
        <w:rPr>
          <w:rFonts w:ascii="Arial Narrow" w:hAnsi="Arial Narrow"/>
          <w:szCs w:val="24"/>
        </w:rPr>
        <w:t>16.2 - A execução do objeto deverá observar os princípios da legalidade, eficiência, economicidade, segurança, continuidade do serviço público, motivação, planejamento possível diante da urgência e atendimento ao interesse público.</w:t>
      </w:r>
    </w:p>
    <w:p w14:paraId="2288EFAA" w14:textId="77777777" w:rsidR="00CE1BB5" w:rsidRPr="002951B8" w:rsidRDefault="00CE1BB5">
      <w:pPr>
        <w:spacing w:after="320" w:line="240" w:lineRule="auto"/>
        <w:rPr>
          <w:rFonts w:ascii="Arial Narrow" w:hAnsi="Arial Narrow"/>
          <w:szCs w:val="24"/>
        </w:rPr>
      </w:pPr>
    </w:p>
    <w:p w14:paraId="7A5F0F24" w14:textId="5549C61E" w:rsidR="00CE1BB5" w:rsidRPr="002951B8" w:rsidRDefault="00F53E33">
      <w:pPr>
        <w:spacing w:after="440" w:line="240" w:lineRule="auto"/>
        <w:rPr>
          <w:rFonts w:ascii="Arial Narrow" w:hAnsi="Arial Narrow"/>
          <w:szCs w:val="24"/>
        </w:rPr>
      </w:pPr>
      <w:r w:rsidRPr="002951B8">
        <w:rPr>
          <w:rFonts w:ascii="Arial Narrow" w:hAnsi="Arial Narrow"/>
          <w:szCs w:val="24"/>
        </w:rPr>
        <w:t xml:space="preserve">Iguatama/MG, </w:t>
      </w:r>
      <w:r w:rsidR="002951B8">
        <w:rPr>
          <w:rFonts w:ascii="Arial Narrow" w:hAnsi="Arial Narrow"/>
          <w:szCs w:val="24"/>
        </w:rPr>
        <w:t>12 de junho</w:t>
      </w:r>
      <w:r w:rsidRPr="002951B8">
        <w:rPr>
          <w:rFonts w:ascii="Arial Narrow" w:hAnsi="Arial Narrow"/>
          <w:szCs w:val="24"/>
        </w:rPr>
        <w:t xml:space="preserve"> de 2026.</w:t>
      </w:r>
    </w:p>
    <w:p w14:paraId="13D87AF0" w14:textId="77777777" w:rsidR="00F53E33" w:rsidRPr="002951B8" w:rsidRDefault="00F53E33">
      <w:pPr>
        <w:spacing w:after="440" w:line="240" w:lineRule="auto"/>
        <w:rPr>
          <w:rFonts w:ascii="Arial Narrow" w:hAnsi="Arial Narrow"/>
          <w:szCs w:val="24"/>
        </w:rPr>
      </w:pPr>
      <w:r w:rsidRPr="002951B8">
        <w:rPr>
          <w:rFonts w:ascii="Arial Narrow" w:hAnsi="Arial Narrow"/>
          <w:szCs w:val="24"/>
        </w:rPr>
        <w:t xml:space="preserve">                                   </w:t>
      </w:r>
    </w:p>
    <w:p w14:paraId="2BD4D5BC" w14:textId="77777777" w:rsidR="00CE1BB5" w:rsidRPr="002951B8" w:rsidRDefault="00F53E33">
      <w:pPr>
        <w:spacing w:after="0" w:line="240" w:lineRule="auto"/>
        <w:jc w:val="center"/>
        <w:rPr>
          <w:rFonts w:ascii="Arial Narrow" w:hAnsi="Arial Narrow"/>
          <w:szCs w:val="24"/>
        </w:rPr>
      </w:pPr>
      <w:r w:rsidRPr="002951B8">
        <w:rPr>
          <w:rFonts w:ascii="Arial Narrow" w:hAnsi="Arial Narrow"/>
          <w:b/>
          <w:szCs w:val="24"/>
        </w:rPr>
        <w:t>Ednei Lopes Camargos</w:t>
      </w:r>
    </w:p>
    <w:p w14:paraId="1F18584D" w14:textId="77777777" w:rsidR="00CE1BB5" w:rsidRPr="002951B8" w:rsidRDefault="00F53E33">
      <w:pPr>
        <w:spacing w:after="0" w:line="240" w:lineRule="auto"/>
        <w:jc w:val="center"/>
        <w:rPr>
          <w:rFonts w:ascii="Arial Narrow" w:hAnsi="Arial Narrow"/>
          <w:szCs w:val="24"/>
        </w:rPr>
      </w:pPr>
      <w:r w:rsidRPr="002951B8">
        <w:rPr>
          <w:rFonts w:ascii="Arial Narrow" w:hAnsi="Arial Narrow"/>
          <w:szCs w:val="24"/>
        </w:rPr>
        <w:t>Diretor do SAAE</w:t>
      </w:r>
    </w:p>
    <w:sectPr w:rsidR="00CE1BB5" w:rsidRPr="002951B8" w:rsidSect="00D91457">
      <w:headerReference w:type="default" r:id="rId8"/>
      <w:footerReference w:type="default" r:id="rId9"/>
      <w:pgSz w:w="11906" w:h="16838"/>
      <w:pgMar w:top="1276" w:right="1502" w:bottom="1276" w:left="150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086A" w14:textId="77777777" w:rsidR="004927E4" w:rsidRDefault="004927E4" w:rsidP="00C10A8E">
      <w:pPr>
        <w:spacing w:after="0" w:line="240" w:lineRule="auto"/>
      </w:pPr>
      <w:r>
        <w:separator/>
      </w:r>
    </w:p>
  </w:endnote>
  <w:endnote w:type="continuationSeparator" w:id="0">
    <w:p w14:paraId="53E97378" w14:textId="77777777" w:rsidR="004927E4" w:rsidRDefault="004927E4" w:rsidP="00C10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6C76" w14:textId="2536ACEC" w:rsidR="00545DC8" w:rsidRPr="00D75D92" w:rsidRDefault="00545DC8" w:rsidP="00545DC8">
    <w:pPr>
      <w:pStyle w:val="Cabealho"/>
      <w:jc w:val="center"/>
      <w:rPr>
        <w:sz w:val="18"/>
        <w:szCs w:val="18"/>
      </w:rPr>
    </w:pPr>
    <w:r w:rsidRPr="00D75D92">
      <w:rPr>
        <w:rFonts w:ascii="Arial" w:eastAsia="Arial" w:hAnsi="Arial"/>
        <w:sz w:val="16"/>
        <w:szCs w:val="18"/>
      </w:rPr>
      <w:t>RUA DEZOITO N° 61-CENTRO</w:t>
    </w:r>
  </w:p>
  <w:p w14:paraId="33A49C52" w14:textId="77777777" w:rsidR="00545DC8" w:rsidRPr="00D75D92" w:rsidRDefault="00545DC8" w:rsidP="00545DC8">
    <w:pPr>
      <w:pStyle w:val="Cabealho"/>
      <w:jc w:val="center"/>
      <w:rPr>
        <w:sz w:val="18"/>
        <w:szCs w:val="18"/>
      </w:rPr>
    </w:pPr>
    <w:r w:rsidRPr="00D75D92">
      <w:rPr>
        <w:rFonts w:ascii="Arial" w:eastAsia="Arial" w:hAnsi="Arial"/>
        <w:sz w:val="16"/>
        <w:szCs w:val="18"/>
      </w:rPr>
      <w:t>IGUATAMA-MG- CEP: 38.910-000</w:t>
    </w:r>
  </w:p>
  <w:p w14:paraId="4D0DCB22" w14:textId="77777777" w:rsidR="00545DC8" w:rsidRPr="00D75D92" w:rsidRDefault="00545DC8" w:rsidP="00545DC8">
    <w:pPr>
      <w:pStyle w:val="Cabealho"/>
      <w:jc w:val="center"/>
      <w:rPr>
        <w:sz w:val="18"/>
        <w:szCs w:val="18"/>
      </w:rPr>
    </w:pPr>
    <w:r w:rsidRPr="00D75D92">
      <w:rPr>
        <w:rFonts w:ascii="Arial" w:eastAsia="Arial" w:hAnsi="Arial"/>
        <w:sz w:val="16"/>
        <w:szCs w:val="18"/>
      </w:rPr>
      <w:t>CNPJ: 23.441.261/0001-42- TEL: (37)3353-2972</w:t>
    </w:r>
  </w:p>
  <w:p w14:paraId="1B1EC3BB" w14:textId="6219E3C2" w:rsidR="00C43A72" w:rsidRDefault="00C43A72" w:rsidP="00545DC8">
    <w:pPr>
      <w:pStyle w:val="Rodap"/>
      <w:tabs>
        <w:tab w:val="clear" w:pos="4252"/>
        <w:tab w:val="clear" w:pos="8504"/>
        <w:tab w:val="left" w:pos="33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89355" w14:textId="77777777" w:rsidR="004927E4" w:rsidRDefault="004927E4" w:rsidP="00C10A8E">
      <w:pPr>
        <w:spacing w:after="0" w:line="240" w:lineRule="auto"/>
      </w:pPr>
      <w:r>
        <w:separator/>
      </w:r>
    </w:p>
  </w:footnote>
  <w:footnote w:type="continuationSeparator" w:id="0">
    <w:p w14:paraId="2240BB4D" w14:textId="77777777" w:rsidR="004927E4" w:rsidRDefault="004927E4" w:rsidP="00C10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7528" w14:textId="77777777" w:rsidR="00C10A8E" w:rsidRDefault="00C10A8E" w:rsidP="00C10A8E">
    <w:pPr>
      <w:pStyle w:val="Cabealho"/>
      <w:jc w:val="center"/>
    </w:pPr>
    <w:r>
      <w:rPr>
        <w:rFonts w:ascii="Arial" w:eastAsia="Arial" w:hAnsi="Arial" w:cs="Arial"/>
        <w:b/>
        <w:noProof/>
        <w:sz w:val="20"/>
        <w:szCs w:val="27"/>
        <w:lang w:eastAsia="pt-BR"/>
      </w:rPr>
      <w:drawing>
        <wp:inline distT="0" distB="0" distL="0" distR="0" wp14:anchorId="2FE2421A" wp14:editId="7BF5D8DB">
          <wp:extent cx="1724025" cy="676275"/>
          <wp:effectExtent l="0" t="0" r="9525" b="9525"/>
          <wp:docPr id="1" name="Imagem 1" descr="Logo do SA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o SAAE"/>
                  <pic:cNvPicPr>
                    <a:picLocks noChangeAspect="1" noChangeArrowheads="1"/>
                  </pic:cNvPicPr>
                </pic:nvPicPr>
                <pic:blipFill>
                  <a:blip r:embed="rId1"/>
                  <a:srcRect/>
                  <a:stretch>
                    <a:fillRect/>
                  </a:stretch>
                </pic:blipFill>
                <pic:spPr bwMode="auto">
                  <a:xfrm>
                    <a:off x="0" y="0"/>
                    <a:ext cx="1724025" cy="6762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51E9"/>
    <w:multiLevelType w:val="multilevel"/>
    <w:tmpl w:val="6010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048BA"/>
    <w:multiLevelType w:val="multilevel"/>
    <w:tmpl w:val="A440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53B24"/>
    <w:multiLevelType w:val="multilevel"/>
    <w:tmpl w:val="3AD2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60D70"/>
    <w:multiLevelType w:val="multilevel"/>
    <w:tmpl w:val="6E14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62AC6"/>
    <w:multiLevelType w:val="multilevel"/>
    <w:tmpl w:val="4C22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D098F"/>
    <w:multiLevelType w:val="multilevel"/>
    <w:tmpl w:val="CCC8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2159F"/>
    <w:multiLevelType w:val="multilevel"/>
    <w:tmpl w:val="6070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E61CD"/>
    <w:multiLevelType w:val="multilevel"/>
    <w:tmpl w:val="A384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A7F3C"/>
    <w:multiLevelType w:val="hybridMultilevel"/>
    <w:tmpl w:val="D1E24C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AD84B6C"/>
    <w:multiLevelType w:val="multilevel"/>
    <w:tmpl w:val="6ECA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442E90"/>
    <w:multiLevelType w:val="multilevel"/>
    <w:tmpl w:val="11F6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D246BB"/>
    <w:multiLevelType w:val="multilevel"/>
    <w:tmpl w:val="9064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CC53DF"/>
    <w:multiLevelType w:val="hybridMultilevel"/>
    <w:tmpl w:val="5658D60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DC86DE5"/>
    <w:multiLevelType w:val="multilevel"/>
    <w:tmpl w:val="6632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A0468"/>
    <w:multiLevelType w:val="multilevel"/>
    <w:tmpl w:val="67A2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83B54"/>
    <w:multiLevelType w:val="multilevel"/>
    <w:tmpl w:val="6A24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305DAC"/>
    <w:multiLevelType w:val="multilevel"/>
    <w:tmpl w:val="977C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F6558"/>
    <w:multiLevelType w:val="multilevel"/>
    <w:tmpl w:val="7F7A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E22134"/>
    <w:multiLevelType w:val="hybridMultilevel"/>
    <w:tmpl w:val="0B0E52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4AF7701"/>
    <w:multiLevelType w:val="multilevel"/>
    <w:tmpl w:val="7FE4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3912A8"/>
    <w:multiLevelType w:val="multilevel"/>
    <w:tmpl w:val="D9FA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9A1A7E"/>
    <w:multiLevelType w:val="multilevel"/>
    <w:tmpl w:val="2DCA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B272D7"/>
    <w:multiLevelType w:val="multilevel"/>
    <w:tmpl w:val="F2EE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54865"/>
    <w:multiLevelType w:val="multilevel"/>
    <w:tmpl w:val="366A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653FC6"/>
    <w:multiLevelType w:val="multilevel"/>
    <w:tmpl w:val="6B422CB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bCs/>
        <w:i w:val="0"/>
        <w:iCs w:val="0"/>
        <w:color w:val="auto"/>
      </w:rPr>
    </w:lvl>
    <w:lvl w:ilvl="2">
      <w:start w:val="1"/>
      <w:numFmt w:val="upperRoman"/>
      <w:isLgl/>
      <w:lvlText w:val="%1.%2.%3."/>
      <w:lvlJc w:val="left"/>
      <w:pPr>
        <w:ind w:left="2520" w:hanging="108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5" w15:restartNumberingAfterBreak="0">
    <w:nsid w:val="71DD6BAF"/>
    <w:multiLevelType w:val="multilevel"/>
    <w:tmpl w:val="C326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3C4A2E"/>
    <w:multiLevelType w:val="multilevel"/>
    <w:tmpl w:val="3A44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3F2EE1"/>
    <w:multiLevelType w:val="multilevel"/>
    <w:tmpl w:val="6142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BD0CCF"/>
    <w:multiLevelType w:val="multilevel"/>
    <w:tmpl w:val="011A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000648"/>
    <w:multiLevelType w:val="multilevel"/>
    <w:tmpl w:val="385C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3569C4"/>
    <w:multiLevelType w:val="multilevel"/>
    <w:tmpl w:val="83A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A94E2A"/>
    <w:multiLevelType w:val="multilevel"/>
    <w:tmpl w:val="D18C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2"/>
  </w:num>
  <w:num w:numId="3">
    <w:abstractNumId w:val="8"/>
  </w:num>
  <w:num w:numId="4">
    <w:abstractNumId w:val="18"/>
  </w:num>
  <w:num w:numId="5">
    <w:abstractNumId w:val="14"/>
  </w:num>
  <w:num w:numId="6">
    <w:abstractNumId w:val="25"/>
  </w:num>
  <w:num w:numId="7">
    <w:abstractNumId w:val="10"/>
  </w:num>
  <w:num w:numId="8">
    <w:abstractNumId w:val="7"/>
  </w:num>
  <w:num w:numId="9">
    <w:abstractNumId w:val="16"/>
  </w:num>
  <w:num w:numId="10">
    <w:abstractNumId w:val="9"/>
  </w:num>
  <w:num w:numId="11">
    <w:abstractNumId w:val="2"/>
  </w:num>
  <w:num w:numId="12">
    <w:abstractNumId w:val="22"/>
  </w:num>
  <w:num w:numId="13">
    <w:abstractNumId w:val="11"/>
  </w:num>
  <w:num w:numId="14">
    <w:abstractNumId w:val="5"/>
  </w:num>
  <w:num w:numId="15">
    <w:abstractNumId w:val="26"/>
  </w:num>
  <w:num w:numId="16">
    <w:abstractNumId w:val="13"/>
  </w:num>
  <w:num w:numId="17">
    <w:abstractNumId w:val="1"/>
  </w:num>
  <w:num w:numId="18">
    <w:abstractNumId w:val="29"/>
  </w:num>
  <w:num w:numId="19">
    <w:abstractNumId w:val="4"/>
  </w:num>
  <w:num w:numId="20">
    <w:abstractNumId w:val="0"/>
  </w:num>
  <w:num w:numId="21">
    <w:abstractNumId w:val="27"/>
  </w:num>
  <w:num w:numId="22">
    <w:abstractNumId w:val="28"/>
  </w:num>
  <w:num w:numId="23">
    <w:abstractNumId w:val="15"/>
  </w:num>
  <w:num w:numId="24">
    <w:abstractNumId w:val="20"/>
  </w:num>
  <w:num w:numId="25">
    <w:abstractNumId w:val="30"/>
  </w:num>
  <w:num w:numId="26">
    <w:abstractNumId w:val="19"/>
  </w:num>
  <w:num w:numId="27">
    <w:abstractNumId w:val="17"/>
  </w:num>
  <w:num w:numId="28">
    <w:abstractNumId w:val="6"/>
  </w:num>
  <w:num w:numId="29">
    <w:abstractNumId w:val="3"/>
  </w:num>
  <w:num w:numId="30">
    <w:abstractNumId w:val="23"/>
  </w:num>
  <w:num w:numId="31">
    <w:abstractNumId w:val="2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8E"/>
    <w:rsid w:val="0000780B"/>
    <w:rsid w:val="00043EC1"/>
    <w:rsid w:val="000B66C3"/>
    <w:rsid w:val="000D1630"/>
    <w:rsid w:val="000E57A8"/>
    <w:rsid w:val="00187927"/>
    <w:rsid w:val="001A1CDD"/>
    <w:rsid w:val="001D2225"/>
    <w:rsid w:val="001E05FF"/>
    <w:rsid w:val="00212CA9"/>
    <w:rsid w:val="00257B38"/>
    <w:rsid w:val="00262D19"/>
    <w:rsid w:val="00265F95"/>
    <w:rsid w:val="002818BC"/>
    <w:rsid w:val="002854FD"/>
    <w:rsid w:val="00293B4E"/>
    <w:rsid w:val="002951B8"/>
    <w:rsid w:val="002E3214"/>
    <w:rsid w:val="002F1399"/>
    <w:rsid w:val="00313AE6"/>
    <w:rsid w:val="0032368E"/>
    <w:rsid w:val="003C45B1"/>
    <w:rsid w:val="004409FD"/>
    <w:rsid w:val="00454ED7"/>
    <w:rsid w:val="00457357"/>
    <w:rsid w:val="004927E4"/>
    <w:rsid w:val="004A47C3"/>
    <w:rsid w:val="0053320C"/>
    <w:rsid w:val="00545DC8"/>
    <w:rsid w:val="0055096D"/>
    <w:rsid w:val="00584936"/>
    <w:rsid w:val="005A58DB"/>
    <w:rsid w:val="005B5A87"/>
    <w:rsid w:val="005E6407"/>
    <w:rsid w:val="006534F0"/>
    <w:rsid w:val="00692560"/>
    <w:rsid w:val="006965FC"/>
    <w:rsid w:val="006A1446"/>
    <w:rsid w:val="006A40B0"/>
    <w:rsid w:val="006B1425"/>
    <w:rsid w:val="006B769E"/>
    <w:rsid w:val="006F22EA"/>
    <w:rsid w:val="00707CF9"/>
    <w:rsid w:val="00720E18"/>
    <w:rsid w:val="007471F4"/>
    <w:rsid w:val="00747766"/>
    <w:rsid w:val="00792969"/>
    <w:rsid w:val="0080210D"/>
    <w:rsid w:val="00812802"/>
    <w:rsid w:val="00861F0C"/>
    <w:rsid w:val="0087558A"/>
    <w:rsid w:val="00884774"/>
    <w:rsid w:val="008A6A89"/>
    <w:rsid w:val="008D55CD"/>
    <w:rsid w:val="00900588"/>
    <w:rsid w:val="0090602D"/>
    <w:rsid w:val="009524C1"/>
    <w:rsid w:val="009A6374"/>
    <w:rsid w:val="009A718E"/>
    <w:rsid w:val="00A504DD"/>
    <w:rsid w:val="00A65311"/>
    <w:rsid w:val="00A71F54"/>
    <w:rsid w:val="00AB0553"/>
    <w:rsid w:val="00AD6351"/>
    <w:rsid w:val="00B54AA2"/>
    <w:rsid w:val="00B56788"/>
    <w:rsid w:val="00B642E2"/>
    <w:rsid w:val="00B74E43"/>
    <w:rsid w:val="00B94A52"/>
    <w:rsid w:val="00BB7CE7"/>
    <w:rsid w:val="00BC48DC"/>
    <w:rsid w:val="00BE3BB9"/>
    <w:rsid w:val="00C02906"/>
    <w:rsid w:val="00C10A8E"/>
    <w:rsid w:val="00C43A72"/>
    <w:rsid w:val="00C71852"/>
    <w:rsid w:val="00CE1BB5"/>
    <w:rsid w:val="00D35C2F"/>
    <w:rsid w:val="00D62497"/>
    <w:rsid w:val="00D70C75"/>
    <w:rsid w:val="00D75D92"/>
    <w:rsid w:val="00D91457"/>
    <w:rsid w:val="00DD2981"/>
    <w:rsid w:val="00E3476C"/>
    <w:rsid w:val="00E65DEC"/>
    <w:rsid w:val="00E95BE6"/>
    <w:rsid w:val="00EB1121"/>
    <w:rsid w:val="00F2581A"/>
    <w:rsid w:val="00F42089"/>
    <w:rsid w:val="00F53E33"/>
    <w:rsid w:val="00FE1D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DBF6"/>
  <w15:docId w15:val="{ACD58819-F29B-400D-9721-85C50A8D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A8E"/>
    <w:pPr>
      <w:spacing w:line="360" w:lineRule="auto"/>
    </w:pPr>
    <w:rPr>
      <w:rFonts w:ascii="Arial" w:eastAsia="Arial" w:hAnsi="Arial" w:cs="Times New Roman"/>
      <w:sz w:val="24"/>
    </w:rPr>
  </w:style>
  <w:style w:type="paragraph" w:styleId="Ttulo1">
    <w:name w:val="heading 1"/>
    <w:basedOn w:val="Normal"/>
    <w:link w:val="Ttulo1Char"/>
    <w:uiPriority w:val="9"/>
    <w:qFormat/>
    <w:rsid w:val="00584936"/>
    <w:pPr>
      <w:spacing w:before="100" w:beforeAutospacing="1" w:after="100" w:afterAutospacing="1" w:line="240" w:lineRule="auto"/>
      <w:outlineLvl w:val="0"/>
    </w:pPr>
    <w:rPr>
      <w:b/>
      <w:bCs/>
      <w:kern w:val="36"/>
      <w:szCs w:val="48"/>
      <w:lang w:eastAsia="pt-BR"/>
    </w:rPr>
  </w:style>
  <w:style w:type="paragraph" w:styleId="Ttulo2">
    <w:name w:val="heading 2"/>
    <w:basedOn w:val="Normal"/>
    <w:next w:val="Normal"/>
    <w:link w:val="Ttulo2Char"/>
    <w:uiPriority w:val="9"/>
    <w:semiHidden/>
    <w:unhideWhenUsed/>
    <w:qFormat/>
    <w:rsid w:val="00257B38"/>
    <w:pPr>
      <w:keepNext/>
      <w:keepLines/>
      <w:spacing w:before="40" w:after="0"/>
      <w:outlineLvl w:val="1"/>
    </w:pPr>
    <w:rPr>
      <w:rFonts w:asciiTheme="majorHAnsi" w:eastAsiaTheme="majorEastAsia" w:hAnsiTheme="majorHAnsi" w:cstheme="majorBidi"/>
      <w:b/>
      <w:color w:val="365F91" w:themeColor="accent1" w:themeShade="BF"/>
      <w:szCs w:val="26"/>
    </w:rPr>
  </w:style>
  <w:style w:type="paragraph" w:styleId="Ttulo3">
    <w:name w:val="heading 3"/>
    <w:basedOn w:val="Normal"/>
    <w:next w:val="Normal"/>
    <w:link w:val="Ttulo3Char"/>
    <w:uiPriority w:val="9"/>
    <w:semiHidden/>
    <w:unhideWhenUsed/>
    <w:qFormat/>
    <w:rsid w:val="0090602D"/>
    <w:pPr>
      <w:keepNext/>
      <w:keepLines/>
      <w:spacing w:before="40" w:after="0"/>
      <w:outlineLvl w:val="2"/>
    </w:pPr>
    <w:rPr>
      <w:rFonts w:asciiTheme="majorHAnsi" w:eastAsiaTheme="majorEastAsia" w:hAnsiTheme="majorHAnsi" w:cstheme="majorBidi"/>
      <w:b/>
      <w:color w:val="243F60"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10A8E"/>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C10A8E"/>
  </w:style>
  <w:style w:type="paragraph" w:styleId="Rodap">
    <w:name w:val="footer"/>
    <w:basedOn w:val="Normal"/>
    <w:link w:val="RodapChar"/>
    <w:uiPriority w:val="99"/>
    <w:semiHidden/>
    <w:unhideWhenUsed/>
    <w:rsid w:val="00C10A8E"/>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semiHidden/>
    <w:rsid w:val="00C10A8E"/>
  </w:style>
  <w:style w:type="paragraph" w:styleId="Textodebalo">
    <w:name w:val="Balloon Text"/>
    <w:basedOn w:val="Normal"/>
    <w:link w:val="TextodebaloChar"/>
    <w:uiPriority w:val="99"/>
    <w:semiHidden/>
    <w:unhideWhenUsed/>
    <w:rsid w:val="00C10A8E"/>
    <w:pPr>
      <w:spacing w:after="0" w:line="240" w:lineRule="auto"/>
    </w:pPr>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C10A8E"/>
    <w:rPr>
      <w:rFonts w:ascii="Tahoma" w:hAnsi="Tahoma" w:cs="Tahoma"/>
      <w:sz w:val="16"/>
      <w:szCs w:val="16"/>
    </w:rPr>
  </w:style>
  <w:style w:type="character" w:styleId="Hyperlink">
    <w:name w:val="Hyperlink"/>
    <w:basedOn w:val="Fontepargpadro"/>
    <w:uiPriority w:val="99"/>
    <w:semiHidden/>
    <w:unhideWhenUsed/>
    <w:rsid w:val="00C10A8E"/>
    <w:rPr>
      <w:color w:val="0000FF"/>
      <w:u w:val="single"/>
    </w:rPr>
  </w:style>
  <w:style w:type="character" w:styleId="HiperlinkVisitado">
    <w:name w:val="FollowedHyperlink"/>
    <w:basedOn w:val="Fontepargpadro"/>
    <w:uiPriority w:val="99"/>
    <w:semiHidden/>
    <w:unhideWhenUsed/>
    <w:rsid w:val="00C10A8E"/>
    <w:rPr>
      <w:color w:val="800080"/>
      <w:u w:val="single"/>
    </w:rPr>
  </w:style>
  <w:style w:type="paragraph" w:customStyle="1" w:styleId="xl63">
    <w:name w:val="xl63"/>
    <w:basedOn w:val="Normal"/>
    <w:rsid w:val="00C10A8E"/>
    <w:pPr>
      <w:spacing w:before="100" w:beforeAutospacing="1" w:after="100" w:afterAutospacing="1" w:line="240" w:lineRule="auto"/>
    </w:pPr>
    <w:rPr>
      <w:rFonts w:ascii="Times New Roman" w:eastAsia="Times New Roman" w:hAnsi="Times New Roman"/>
      <w:szCs w:val="24"/>
      <w:lang w:eastAsia="pt-BR"/>
    </w:rPr>
  </w:style>
  <w:style w:type="paragraph" w:customStyle="1" w:styleId="xl64">
    <w:name w:val="xl64"/>
    <w:basedOn w:val="Normal"/>
    <w:rsid w:val="00C10A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xl65">
    <w:name w:val="xl65"/>
    <w:basedOn w:val="Normal"/>
    <w:rsid w:val="00C10A8E"/>
    <w:pP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xl66">
    <w:name w:val="xl66"/>
    <w:basedOn w:val="Normal"/>
    <w:rsid w:val="00C10A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Cs w:val="24"/>
      <w:lang w:eastAsia="pt-BR"/>
    </w:rPr>
  </w:style>
  <w:style w:type="paragraph" w:customStyle="1" w:styleId="xl67">
    <w:name w:val="xl67"/>
    <w:basedOn w:val="Normal"/>
    <w:rsid w:val="00C10A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Cs w:val="24"/>
      <w:lang w:eastAsia="pt-BR"/>
    </w:rPr>
  </w:style>
  <w:style w:type="paragraph" w:customStyle="1" w:styleId="xl68">
    <w:name w:val="xl68"/>
    <w:basedOn w:val="Normal"/>
    <w:rsid w:val="00C10A8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xl69">
    <w:name w:val="xl69"/>
    <w:basedOn w:val="Normal"/>
    <w:rsid w:val="00C10A8E"/>
    <w:pPr>
      <w:pBdr>
        <w:bottom w:val="single" w:sz="4" w:space="0" w:color="auto"/>
      </w:pBd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xl70">
    <w:name w:val="xl70"/>
    <w:basedOn w:val="Normal"/>
    <w:rsid w:val="00C10A8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Cs w:val="24"/>
      <w:lang w:eastAsia="pt-BR"/>
    </w:rPr>
  </w:style>
  <w:style w:type="paragraph" w:customStyle="1" w:styleId="font5">
    <w:name w:val="font5"/>
    <w:basedOn w:val="Normal"/>
    <w:rsid w:val="00B74E43"/>
    <w:pPr>
      <w:spacing w:before="100" w:beforeAutospacing="1" w:after="100" w:afterAutospacing="1" w:line="240" w:lineRule="auto"/>
    </w:pPr>
    <w:rPr>
      <w:rFonts w:eastAsia="Times New Roman"/>
      <w:lang w:eastAsia="pt-BR"/>
    </w:rPr>
  </w:style>
  <w:style w:type="paragraph" w:customStyle="1" w:styleId="xl71">
    <w:name w:val="xl71"/>
    <w:basedOn w:val="Normal"/>
    <w:rsid w:val="00B74E4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Cs w:val="24"/>
      <w:lang w:eastAsia="pt-BR"/>
    </w:rPr>
  </w:style>
  <w:style w:type="paragraph" w:customStyle="1" w:styleId="xl72">
    <w:name w:val="xl72"/>
    <w:basedOn w:val="Normal"/>
    <w:rsid w:val="00B74E4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Cs w:val="24"/>
      <w:lang w:eastAsia="pt-BR"/>
    </w:rPr>
  </w:style>
  <w:style w:type="table" w:styleId="Tabelacomgrade">
    <w:name w:val="Table Grid"/>
    <w:basedOn w:val="Tabelanormal"/>
    <w:uiPriority w:val="59"/>
    <w:rsid w:val="00DD2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584936"/>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1D2225"/>
    <w:pPr>
      <w:widowControl w:val="0"/>
      <w:autoSpaceDE w:val="0"/>
      <w:autoSpaceDN w:val="0"/>
      <w:spacing w:after="0" w:line="240" w:lineRule="auto"/>
      <w:ind w:left="720"/>
      <w:contextualSpacing/>
    </w:pPr>
    <w:rPr>
      <w:lang w:val="pt-PT"/>
    </w:rPr>
  </w:style>
  <w:style w:type="paragraph" w:styleId="Corpodetexto">
    <w:name w:val="Body Text"/>
    <w:basedOn w:val="Normal"/>
    <w:link w:val="CorpodetextoChar"/>
    <w:qFormat/>
    <w:rsid w:val="001D2225"/>
    <w:pPr>
      <w:widowControl w:val="0"/>
      <w:autoSpaceDE w:val="0"/>
      <w:autoSpaceDN w:val="0"/>
      <w:spacing w:after="0" w:line="240" w:lineRule="auto"/>
      <w:ind w:left="682"/>
      <w:jc w:val="both"/>
    </w:pPr>
    <w:rPr>
      <w:rFonts w:ascii="Times New Roman" w:eastAsia="Times New Roman" w:hAnsi="Times New Roman"/>
      <w:szCs w:val="24"/>
      <w:lang w:val="pt-PT"/>
    </w:rPr>
  </w:style>
  <w:style w:type="character" w:customStyle="1" w:styleId="CorpodetextoChar">
    <w:name w:val="Corpo de texto Char"/>
    <w:basedOn w:val="Fontepargpadro"/>
    <w:link w:val="Corpodetexto"/>
    <w:rsid w:val="001D2225"/>
    <w:rPr>
      <w:rFonts w:ascii="Times New Roman" w:eastAsia="Times New Roman" w:hAnsi="Times New Roman" w:cs="Times New Roman"/>
      <w:sz w:val="24"/>
      <w:szCs w:val="24"/>
      <w:lang w:val="pt-PT"/>
    </w:rPr>
  </w:style>
  <w:style w:type="paragraph" w:customStyle="1" w:styleId="Standard">
    <w:name w:val="Standard"/>
    <w:rsid w:val="001D2225"/>
    <w:pPr>
      <w:suppressAutoHyphens/>
      <w:autoSpaceDN w:val="0"/>
      <w:spacing w:after="87" w:line="240" w:lineRule="auto"/>
      <w:ind w:left="-5" w:hanging="10"/>
      <w:jc w:val="both"/>
      <w:textAlignment w:val="baseline"/>
    </w:pPr>
    <w:rPr>
      <w:rFonts w:ascii="Times New Roman" w:eastAsia="Times New Roman" w:hAnsi="Times New Roman" w:cs="Times New Roman"/>
      <w:color w:val="000000"/>
      <w:kern w:val="3"/>
      <w:sz w:val="24"/>
      <w:szCs w:val="24"/>
      <w:lang w:eastAsia="zh-CN" w:bidi="hi-IN"/>
    </w:rPr>
  </w:style>
  <w:style w:type="paragraph" w:customStyle="1" w:styleId="Normal1">
    <w:name w:val="Normal1"/>
    <w:rsid w:val="001D2225"/>
    <w:pPr>
      <w:widowControl w:val="0"/>
      <w:suppressAutoHyphens/>
      <w:autoSpaceDN w:val="0"/>
      <w:spacing w:after="0" w:line="100" w:lineRule="atLeast"/>
      <w:textAlignment w:val="baseline"/>
    </w:pPr>
    <w:rPr>
      <w:rFonts w:ascii="Times New Roman" w:eastAsia="Lucida Sans Unicode" w:hAnsi="Times New Roman" w:cs="Tahoma"/>
      <w:kern w:val="3"/>
      <w:sz w:val="24"/>
      <w:szCs w:val="24"/>
      <w:lang w:eastAsia="ar-SA" w:bidi="hi-IN"/>
    </w:rPr>
  </w:style>
  <w:style w:type="character" w:customStyle="1" w:styleId="Ttulo2Char">
    <w:name w:val="Título 2 Char"/>
    <w:basedOn w:val="Fontepargpadro"/>
    <w:link w:val="Ttulo2"/>
    <w:uiPriority w:val="9"/>
    <w:semiHidden/>
    <w:rsid w:val="00257B38"/>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257B38"/>
    <w:pPr>
      <w:spacing w:before="100" w:beforeAutospacing="1" w:after="100" w:afterAutospacing="1" w:line="240" w:lineRule="auto"/>
    </w:pPr>
    <w:rPr>
      <w:szCs w:val="24"/>
      <w:lang w:eastAsia="pt-BR"/>
    </w:rPr>
  </w:style>
  <w:style w:type="character" w:styleId="Forte">
    <w:name w:val="Strong"/>
    <w:basedOn w:val="Fontepargpadro"/>
    <w:uiPriority w:val="22"/>
    <w:qFormat/>
    <w:rsid w:val="00257B38"/>
    <w:rPr>
      <w:b/>
      <w:bCs/>
    </w:rPr>
  </w:style>
  <w:style w:type="character" w:customStyle="1" w:styleId="Ttulo3Char">
    <w:name w:val="Título 3 Char"/>
    <w:basedOn w:val="Fontepargpadro"/>
    <w:link w:val="Ttulo3"/>
    <w:uiPriority w:val="9"/>
    <w:semiHidden/>
    <w:rsid w:val="0090602D"/>
    <w:rPr>
      <w:rFonts w:asciiTheme="majorHAnsi" w:eastAsiaTheme="majorEastAsia" w:hAnsiTheme="majorHAnsi" w:cstheme="majorBidi"/>
      <w:color w:val="243F60" w:themeColor="accent1" w:themeShade="7F"/>
      <w:sz w:val="24"/>
      <w:szCs w:val="24"/>
    </w:rPr>
  </w:style>
  <w:style w:type="paragraph" w:customStyle="1" w:styleId="pdq2pgselectionanchorcontainer">
    <w:name w:val="pdq2pg_selectionanchorcontainer"/>
    <w:basedOn w:val="Normal"/>
    <w:rsid w:val="0090602D"/>
    <w:pPr>
      <w:spacing w:before="100" w:beforeAutospacing="1" w:after="100" w:afterAutospacing="1" w:line="240" w:lineRule="auto"/>
    </w:pPr>
    <w:rPr>
      <w:rFonts w:ascii="Times New Roman" w:eastAsia="Times New Roman" w:hAnsi="Times New Roman"/>
      <w:szCs w:val="24"/>
      <w:lang w:eastAsia="pt-BR"/>
    </w:rPr>
  </w:style>
  <w:style w:type="paragraph" w:customStyle="1" w:styleId="Default">
    <w:name w:val="Default"/>
    <w:rsid w:val="0090602D"/>
    <w:pPr>
      <w:autoSpaceDE w:val="0"/>
      <w:autoSpaceDN w:val="0"/>
      <w:adjustRightInd w:val="0"/>
      <w:spacing w:after="0" w:line="240" w:lineRule="auto"/>
    </w:pPr>
    <w:rPr>
      <w:rFonts w:ascii="Arial" w:eastAsia="Times New Roman"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61377">
      <w:bodyDiv w:val="1"/>
      <w:marLeft w:val="0"/>
      <w:marRight w:val="0"/>
      <w:marTop w:val="0"/>
      <w:marBottom w:val="0"/>
      <w:divBdr>
        <w:top w:val="none" w:sz="0" w:space="0" w:color="auto"/>
        <w:left w:val="none" w:sz="0" w:space="0" w:color="auto"/>
        <w:bottom w:val="none" w:sz="0" w:space="0" w:color="auto"/>
        <w:right w:val="none" w:sz="0" w:space="0" w:color="auto"/>
      </w:divBdr>
    </w:div>
    <w:div w:id="927884322">
      <w:bodyDiv w:val="1"/>
      <w:marLeft w:val="0"/>
      <w:marRight w:val="0"/>
      <w:marTop w:val="0"/>
      <w:marBottom w:val="0"/>
      <w:divBdr>
        <w:top w:val="none" w:sz="0" w:space="0" w:color="auto"/>
        <w:left w:val="none" w:sz="0" w:space="0" w:color="auto"/>
        <w:bottom w:val="none" w:sz="0" w:space="0" w:color="auto"/>
        <w:right w:val="none" w:sz="0" w:space="0" w:color="auto"/>
      </w:divBdr>
      <w:divsChild>
        <w:div w:id="717898771">
          <w:marLeft w:val="0"/>
          <w:marRight w:val="0"/>
          <w:marTop w:val="0"/>
          <w:marBottom w:val="0"/>
          <w:divBdr>
            <w:top w:val="none" w:sz="0" w:space="0" w:color="auto"/>
            <w:left w:val="none" w:sz="0" w:space="0" w:color="auto"/>
            <w:bottom w:val="none" w:sz="0" w:space="0" w:color="auto"/>
            <w:right w:val="none" w:sz="0" w:space="0" w:color="auto"/>
          </w:divBdr>
          <w:divsChild>
            <w:div w:id="840972883">
              <w:marLeft w:val="0"/>
              <w:marRight w:val="0"/>
              <w:marTop w:val="0"/>
              <w:marBottom w:val="0"/>
              <w:divBdr>
                <w:top w:val="none" w:sz="0" w:space="0" w:color="auto"/>
                <w:left w:val="none" w:sz="0" w:space="0" w:color="auto"/>
                <w:bottom w:val="none" w:sz="0" w:space="0" w:color="auto"/>
                <w:right w:val="none" w:sz="0" w:space="0" w:color="auto"/>
              </w:divBdr>
              <w:divsChild>
                <w:div w:id="26875109">
                  <w:marLeft w:val="0"/>
                  <w:marRight w:val="0"/>
                  <w:marTop w:val="0"/>
                  <w:marBottom w:val="0"/>
                  <w:divBdr>
                    <w:top w:val="none" w:sz="0" w:space="0" w:color="auto"/>
                    <w:left w:val="none" w:sz="0" w:space="0" w:color="auto"/>
                    <w:bottom w:val="none" w:sz="0" w:space="0" w:color="auto"/>
                    <w:right w:val="none" w:sz="0" w:space="0" w:color="auto"/>
                  </w:divBdr>
                  <w:divsChild>
                    <w:div w:id="1983539868">
                      <w:marLeft w:val="0"/>
                      <w:marRight w:val="0"/>
                      <w:marTop w:val="0"/>
                      <w:marBottom w:val="0"/>
                      <w:divBdr>
                        <w:top w:val="none" w:sz="0" w:space="0" w:color="auto"/>
                        <w:left w:val="none" w:sz="0" w:space="0" w:color="auto"/>
                        <w:bottom w:val="none" w:sz="0" w:space="0" w:color="auto"/>
                        <w:right w:val="none" w:sz="0" w:space="0" w:color="auto"/>
                      </w:divBdr>
                      <w:divsChild>
                        <w:div w:id="558514587">
                          <w:marLeft w:val="0"/>
                          <w:marRight w:val="0"/>
                          <w:marTop w:val="0"/>
                          <w:marBottom w:val="0"/>
                          <w:divBdr>
                            <w:top w:val="none" w:sz="0" w:space="0" w:color="auto"/>
                            <w:left w:val="none" w:sz="0" w:space="0" w:color="auto"/>
                            <w:bottom w:val="none" w:sz="0" w:space="0" w:color="auto"/>
                            <w:right w:val="none" w:sz="0" w:space="0" w:color="auto"/>
                          </w:divBdr>
                          <w:divsChild>
                            <w:div w:id="1566062557">
                              <w:marLeft w:val="0"/>
                              <w:marRight w:val="0"/>
                              <w:marTop w:val="0"/>
                              <w:marBottom w:val="0"/>
                              <w:divBdr>
                                <w:top w:val="none" w:sz="0" w:space="0" w:color="auto"/>
                                <w:left w:val="none" w:sz="0" w:space="0" w:color="auto"/>
                                <w:bottom w:val="none" w:sz="0" w:space="0" w:color="auto"/>
                                <w:right w:val="none" w:sz="0" w:space="0" w:color="auto"/>
                              </w:divBdr>
                              <w:divsChild>
                                <w:div w:id="1001156358">
                                  <w:marLeft w:val="0"/>
                                  <w:marRight w:val="0"/>
                                  <w:marTop w:val="0"/>
                                  <w:marBottom w:val="0"/>
                                  <w:divBdr>
                                    <w:top w:val="none" w:sz="0" w:space="0" w:color="auto"/>
                                    <w:left w:val="none" w:sz="0" w:space="0" w:color="auto"/>
                                    <w:bottom w:val="none" w:sz="0" w:space="0" w:color="auto"/>
                                    <w:right w:val="none" w:sz="0" w:space="0" w:color="auto"/>
                                  </w:divBdr>
                                  <w:divsChild>
                                    <w:div w:id="1711686786">
                                      <w:marLeft w:val="0"/>
                                      <w:marRight w:val="0"/>
                                      <w:marTop w:val="0"/>
                                      <w:marBottom w:val="0"/>
                                      <w:divBdr>
                                        <w:top w:val="none" w:sz="0" w:space="0" w:color="auto"/>
                                        <w:left w:val="none" w:sz="0" w:space="0" w:color="auto"/>
                                        <w:bottom w:val="none" w:sz="0" w:space="0" w:color="auto"/>
                                        <w:right w:val="none" w:sz="0" w:space="0" w:color="auto"/>
                                      </w:divBdr>
                                      <w:divsChild>
                                        <w:div w:id="1146047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3831455">
      <w:bodyDiv w:val="1"/>
      <w:marLeft w:val="0"/>
      <w:marRight w:val="0"/>
      <w:marTop w:val="0"/>
      <w:marBottom w:val="0"/>
      <w:divBdr>
        <w:top w:val="none" w:sz="0" w:space="0" w:color="auto"/>
        <w:left w:val="none" w:sz="0" w:space="0" w:color="auto"/>
        <w:bottom w:val="none" w:sz="0" w:space="0" w:color="auto"/>
        <w:right w:val="none" w:sz="0" w:space="0" w:color="auto"/>
      </w:divBdr>
      <w:divsChild>
        <w:div w:id="1256786843">
          <w:marLeft w:val="0"/>
          <w:marRight w:val="0"/>
          <w:marTop w:val="0"/>
          <w:marBottom w:val="0"/>
          <w:divBdr>
            <w:top w:val="none" w:sz="0" w:space="0" w:color="auto"/>
            <w:left w:val="none" w:sz="0" w:space="0" w:color="auto"/>
            <w:bottom w:val="none" w:sz="0" w:space="0" w:color="auto"/>
            <w:right w:val="none" w:sz="0" w:space="0" w:color="auto"/>
          </w:divBdr>
          <w:divsChild>
            <w:div w:id="183876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3363">
      <w:bodyDiv w:val="1"/>
      <w:marLeft w:val="0"/>
      <w:marRight w:val="0"/>
      <w:marTop w:val="0"/>
      <w:marBottom w:val="0"/>
      <w:divBdr>
        <w:top w:val="none" w:sz="0" w:space="0" w:color="auto"/>
        <w:left w:val="none" w:sz="0" w:space="0" w:color="auto"/>
        <w:bottom w:val="none" w:sz="0" w:space="0" w:color="auto"/>
        <w:right w:val="none" w:sz="0" w:space="0" w:color="auto"/>
      </w:divBdr>
    </w:div>
    <w:div w:id="1395003869">
      <w:bodyDiv w:val="1"/>
      <w:marLeft w:val="0"/>
      <w:marRight w:val="0"/>
      <w:marTop w:val="0"/>
      <w:marBottom w:val="0"/>
      <w:divBdr>
        <w:top w:val="none" w:sz="0" w:space="0" w:color="auto"/>
        <w:left w:val="none" w:sz="0" w:space="0" w:color="auto"/>
        <w:bottom w:val="none" w:sz="0" w:space="0" w:color="auto"/>
        <w:right w:val="none" w:sz="0" w:space="0" w:color="auto"/>
      </w:divBdr>
    </w:div>
    <w:div w:id="1462335048">
      <w:bodyDiv w:val="1"/>
      <w:marLeft w:val="0"/>
      <w:marRight w:val="0"/>
      <w:marTop w:val="0"/>
      <w:marBottom w:val="0"/>
      <w:divBdr>
        <w:top w:val="none" w:sz="0" w:space="0" w:color="auto"/>
        <w:left w:val="none" w:sz="0" w:space="0" w:color="auto"/>
        <w:bottom w:val="none" w:sz="0" w:space="0" w:color="auto"/>
        <w:right w:val="none" w:sz="0" w:space="0" w:color="auto"/>
      </w:divBdr>
    </w:div>
    <w:div w:id="1499006167">
      <w:bodyDiv w:val="1"/>
      <w:marLeft w:val="0"/>
      <w:marRight w:val="0"/>
      <w:marTop w:val="0"/>
      <w:marBottom w:val="0"/>
      <w:divBdr>
        <w:top w:val="none" w:sz="0" w:space="0" w:color="auto"/>
        <w:left w:val="none" w:sz="0" w:space="0" w:color="auto"/>
        <w:bottom w:val="none" w:sz="0" w:space="0" w:color="auto"/>
        <w:right w:val="none" w:sz="0" w:space="0" w:color="auto"/>
      </w:divBdr>
    </w:div>
    <w:div w:id="18937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774CB-8E2E-4016-A410-F8A89B3E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3233</Words>
  <Characters>17464</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Compras</dc:creator>
  <cp:lastModifiedBy>SAAE Iguatama</cp:lastModifiedBy>
  <cp:revision>2</cp:revision>
  <cp:lastPrinted>2026-07-31T10:57:00Z</cp:lastPrinted>
  <dcterms:created xsi:type="dcterms:W3CDTF">2026-07-31T10:58:00Z</dcterms:created>
  <dcterms:modified xsi:type="dcterms:W3CDTF">2026-07-31T10:58:00Z</dcterms:modified>
</cp:coreProperties>
</file>